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513CEA">
      <w:pPr>
        <w:snapToGrid w:val="0"/>
        <w:spacing w:line="360" w:lineRule="auto"/>
        <w:ind w:right="651" w:rightChars="310"/>
        <w:rPr>
          <w:rFonts w:ascii="黑体" w:hAnsi="黑体" w:eastAsia="黑体" w:cs="仿宋_GB2312"/>
          <w:color w:val="auto"/>
          <w:sz w:val="28"/>
          <w:szCs w:val="28"/>
        </w:rPr>
      </w:pPr>
      <w:r>
        <w:rPr>
          <w:rFonts w:hint="eastAsia" w:ascii="黑体" w:hAnsi="黑体" w:eastAsia="黑体" w:cs="仿宋_GB2312"/>
          <w:color w:val="auto"/>
          <w:sz w:val="28"/>
          <w:szCs w:val="28"/>
        </w:rPr>
        <w:t>附件2：</w:t>
      </w:r>
    </w:p>
    <w:p w14:paraId="61A516DC">
      <w:pPr>
        <w:snapToGrid w:val="0"/>
        <w:spacing w:line="360" w:lineRule="auto"/>
        <w:ind w:right="651" w:rightChars="310"/>
        <w:rPr>
          <w:rFonts w:ascii="黑体" w:hAnsi="黑体" w:eastAsia="黑体" w:cs="仿宋_GB2312"/>
          <w:color w:val="auto"/>
          <w:sz w:val="28"/>
          <w:szCs w:val="28"/>
        </w:rPr>
      </w:pPr>
    </w:p>
    <w:p w14:paraId="1B067981">
      <w:pPr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single"/>
        </w:rPr>
        <w:t xml:space="preserve">           （单位）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廉政风险排查及防控台账</w:t>
      </w:r>
    </w:p>
    <w:bookmarkEnd w:id="0"/>
    <w:tbl>
      <w:tblPr>
        <w:tblStyle w:val="3"/>
        <w:tblW w:w="499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7"/>
        <w:gridCol w:w="1975"/>
        <w:gridCol w:w="3412"/>
        <w:gridCol w:w="3514"/>
        <w:gridCol w:w="3925"/>
      </w:tblGrid>
      <w:tr w14:paraId="634FB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472" w:type="pct"/>
            <w:vAlign w:val="center"/>
          </w:tcPr>
          <w:p w14:paraId="334FF256">
            <w:pPr>
              <w:snapToGrid w:val="0"/>
              <w:jc w:val="center"/>
              <w:rPr>
                <w:rFonts w:ascii="黑体" w:hAnsi="黑体" w:eastAsia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697" w:type="pct"/>
            <w:vAlign w:val="center"/>
          </w:tcPr>
          <w:p w14:paraId="40EEF7D4">
            <w:pPr>
              <w:snapToGrid w:val="0"/>
              <w:jc w:val="center"/>
              <w:rPr>
                <w:rFonts w:ascii="黑体" w:hAnsi="黑体" w:eastAsia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szCs w:val="28"/>
              </w:rPr>
              <w:t>职务</w:t>
            </w:r>
          </w:p>
        </w:tc>
        <w:tc>
          <w:tcPr>
            <w:tcW w:w="1204" w:type="pct"/>
            <w:vAlign w:val="center"/>
          </w:tcPr>
          <w:p w14:paraId="525E0532">
            <w:pPr>
              <w:snapToGrid w:val="0"/>
              <w:jc w:val="center"/>
              <w:rPr>
                <w:rFonts w:ascii="黑体" w:hAnsi="黑体" w:eastAsia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szCs w:val="28"/>
              </w:rPr>
              <w:t>岗位职责</w:t>
            </w:r>
          </w:p>
        </w:tc>
        <w:tc>
          <w:tcPr>
            <w:tcW w:w="1240" w:type="pct"/>
            <w:vAlign w:val="center"/>
          </w:tcPr>
          <w:p w14:paraId="491F54AD">
            <w:pPr>
              <w:snapToGrid w:val="0"/>
              <w:jc w:val="center"/>
              <w:rPr>
                <w:rFonts w:ascii="黑体" w:hAnsi="黑体" w:eastAsia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szCs w:val="28"/>
              </w:rPr>
              <w:t>风险点</w:t>
            </w:r>
          </w:p>
        </w:tc>
        <w:tc>
          <w:tcPr>
            <w:tcW w:w="1385" w:type="pct"/>
            <w:vAlign w:val="center"/>
          </w:tcPr>
          <w:p w14:paraId="45D94A87">
            <w:pPr>
              <w:snapToGrid w:val="0"/>
              <w:jc w:val="center"/>
              <w:rPr>
                <w:rFonts w:ascii="黑体" w:hAnsi="黑体" w:eastAsia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szCs w:val="28"/>
              </w:rPr>
              <w:t>风险防控措施</w:t>
            </w:r>
          </w:p>
        </w:tc>
      </w:tr>
      <w:tr w14:paraId="57200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  <w:jc w:val="center"/>
        </w:trPr>
        <w:tc>
          <w:tcPr>
            <w:tcW w:w="472" w:type="pct"/>
            <w:vMerge w:val="restart"/>
            <w:vAlign w:val="center"/>
          </w:tcPr>
          <w:p w14:paraId="197A0C9F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697" w:type="pct"/>
            <w:vMerge w:val="restart"/>
            <w:vAlign w:val="center"/>
          </w:tcPr>
          <w:p w14:paraId="568D7C37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1CA10DC6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1240" w:type="pct"/>
          </w:tcPr>
          <w:p w14:paraId="5D6CDF8A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1.</w:t>
            </w:r>
          </w:p>
        </w:tc>
        <w:tc>
          <w:tcPr>
            <w:tcW w:w="1385" w:type="pct"/>
            <w:shd w:val="clear" w:color="auto" w:fill="auto"/>
          </w:tcPr>
          <w:p w14:paraId="4A194C30"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1.</w:t>
            </w:r>
          </w:p>
        </w:tc>
      </w:tr>
      <w:tr w14:paraId="73DAC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  <w:jc w:val="center"/>
        </w:trPr>
        <w:tc>
          <w:tcPr>
            <w:tcW w:w="472" w:type="pct"/>
            <w:vMerge w:val="continue"/>
            <w:vAlign w:val="center"/>
          </w:tcPr>
          <w:p w14:paraId="75ADDF26">
            <w:pPr>
              <w:snapToGrid w:val="0"/>
              <w:spacing w:line="360" w:lineRule="auto"/>
              <w:rPr>
                <w:color w:val="auto"/>
              </w:rPr>
            </w:pPr>
          </w:p>
        </w:tc>
        <w:tc>
          <w:tcPr>
            <w:tcW w:w="697" w:type="pct"/>
            <w:vMerge w:val="continue"/>
            <w:vAlign w:val="center"/>
          </w:tcPr>
          <w:p w14:paraId="19C030DF">
            <w:pPr>
              <w:snapToGrid w:val="0"/>
              <w:spacing w:line="360" w:lineRule="auto"/>
              <w:rPr>
                <w:color w:val="auto"/>
              </w:rPr>
            </w:pPr>
          </w:p>
        </w:tc>
        <w:tc>
          <w:tcPr>
            <w:tcW w:w="1204" w:type="pct"/>
            <w:vMerge w:val="continue"/>
            <w:vAlign w:val="center"/>
          </w:tcPr>
          <w:p w14:paraId="3BD0CCD4">
            <w:pPr>
              <w:snapToGrid w:val="0"/>
              <w:spacing w:line="360" w:lineRule="auto"/>
              <w:rPr>
                <w:color w:val="auto"/>
              </w:rPr>
            </w:pPr>
          </w:p>
        </w:tc>
        <w:tc>
          <w:tcPr>
            <w:tcW w:w="1240" w:type="pct"/>
          </w:tcPr>
          <w:p w14:paraId="36599436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2.</w:t>
            </w:r>
          </w:p>
        </w:tc>
        <w:tc>
          <w:tcPr>
            <w:tcW w:w="1385" w:type="pct"/>
            <w:shd w:val="clear" w:color="auto" w:fill="auto"/>
          </w:tcPr>
          <w:p w14:paraId="2CD29139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2.</w:t>
            </w:r>
          </w:p>
        </w:tc>
      </w:tr>
      <w:tr w14:paraId="6B930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  <w:jc w:val="center"/>
        </w:trPr>
        <w:tc>
          <w:tcPr>
            <w:tcW w:w="472" w:type="pct"/>
            <w:vMerge w:val="continue"/>
            <w:vAlign w:val="center"/>
          </w:tcPr>
          <w:p w14:paraId="597E2117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</w:p>
        </w:tc>
        <w:tc>
          <w:tcPr>
            <w:tcW w:w="697" w:type="pct"/>
            <w:vMerge w:val="continue"/>
            <w:vAlign w:val="center"/>
          </w:tcPr>
          <w:p w14:paraId="5EAD4F2A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</w:p>
        </w:tc>
        <w:tc>
          <w:tcPr>
            <w:tcW w:w="1204" w:type="pct"/>
            <w:vMerge w:val="continue"/>
            <w:vAlign w:val="center"/>
          </w:tcPr>
          <w:p w14:paraId="7845A416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</w:p>
        </w:tc>
        <w:tc>
          <w:tcPr>
            <w:tcW w:w="1240" w:type="pct"/>
          </w:tcPr>
          <w:p w14:paraId="43D8501E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3.</w:t>
            </w:r>
          </w:p>
        </w:tc>
        <w:tc>
          <w:tcPr>
            <w:tcW w:w="1385" w:type="pct"/>
            <w:shd w:val="clear" w:color="auto" w:fill="auto"/>
          </w:tcPr>
          <w:p w14:paraId="240648EA"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3.</w:t>
            </w:r>
          </w:p>
        </w:tc>
      </w:tr>
      <w:tr w14:paraId="27434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472" w:type="pct"/>
            <w:vMerge w:val="restart"/>
          </w:tcPr>
          <w:p w14:paraId="4123A7D7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697" w:type="pct"/>
            <w:vMerge w:val="restart"/>
          </w:tcPr>
          <w:p w14:paraId="4E9698B1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1204" w:type="pct"/>
            <w:vMerge w:val="restart"/>
          </w:tcPr>
          <w:p w14:paraId="57F06C1E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1240" w:type="pct"/>
            <w:shd w:val="clear" w:color="auto" w:fill="auto"/>
          </w:tcPr>
          <w:p w14:paraId="1DDCBE0F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1.</w:t>
            </w:r>
          </w:p>
        </w:tc>
        <w:tc>
          <w:tcPr>
            <w:tcW w:w="1385" w:type="pct"/>
          </w:tcPr>
          <w:p w14:paraId="2B1B29F4"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1.</w:t>
            </w:r>
          </w:p>
        </w:tc>
      </w:tr>
      <w:tr w14:paraId="78A2D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472" w:type="pct"/>
            <w:vMerge w:val="continue"/>
          </w:tcPr>
          <w:p w14:paraId="61450C90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697" w:type="pct"/>
            <w:vMerge w:val="continue"/>
          </w:tcPr>
          <w:p w14:paraId="291A40FA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1204" w:type="pct"/>
            <w:vMerge w:val="continue"/>
          </w:tcPr>
          <w:p w14:paraId="4A2E75C1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1240" w:type="pct"/>
            <w:shd w:val="clear" w:color="auto" w:fill="auto"/>
          </w:tcPr>
          <w:p w14:paraId="694A44B0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2.</w:t>
            </w:r>
          </w:p>
        </w:tc>
        <w:tc>
          <w:tcPr>
            <w:tcW w:w="1385" w:type="pct"/>
          </w:tcPr>
          <w:p w14:paraId="548B0A72"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2.</w:t>
            </w:r>
          </w:p>
        </w:tc>
      </w:tr>
      <w:tr w14:paraId="7450B8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472" w:type="pct"/>
            <w:vMerge w:val="continue"/>
          </w:tcPr>
          <w:p w14:paraId="028E219C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697" w:type="pct"/>
            <w:vMerge w:val="continue"/>
          </w:tcPr>
          <w:p w14:paraId="29879F36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1204" w:type="pct"/>
            <w:vMerge w:val="continue"/>
          </w:tcPr>
          <w:p w14:paraId="66DF6BD3">
            <w:pPr>
              <w:snapToGrid w:val="0"/>
              <w:spacing w:line="360" w:lineRule="auto"/>
              <w:ind w:right="651" w:rightChars="310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</w:p>
        </w:tc>
        <w:tc>
          <w:tcPr>
            <w:tcW w:w="1240" w:type="pct"/>
            <w:shd w:val="clear" w:color="auto" w:fill="auto"/>
          </w:tcPr>
          <w:p w14:paraId="0CEC1BC7">
            <w:pPr>
              <w:snapToGrid w:val="0"/>
              <w:spacing w:line="360" w:lineRule="auto"/>
              <w:rPr>
                <w:rFonts w:ascii="仿宋_GB2312" w:eastAsia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3.</w:t>
            </w:r>
          </w:p>
        </w:tc>
        <w:tc>
          <w:tcPr>
            <w:tcW w:w="1385" w:type="pct"/>
          </w:tcPr>
          <w:p w14:paraId="1470F884"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color w:val="auto"/>
                <w:sz w:val="28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32"/>
              </w:rPr>
              <w:t>3.</w:t>
            </w:r>
          </w:p>
        </w:tc>
      </w:tr>
    </w:tbl>
    <w:p w14:paraId="4945D137">
      <w:pPr>
        <w:snapToGrid w:val="0"/>
        <w:spacing w:line="360" w:lineRule="auto"/>
        <w:jc w:val="left"/>
        <w:rPr>
          <w:rFonts w:ascii="黑体" w:hAnsi="黑体" w:eastAsia="黑体" w:cs="黑体"/>
          <w:color w:val="auto"/>
          <w:sz w:val="28"/>
          <w:szCs w:val="28"/>
        </w:rPr>
      </w:pPr>
    </w:p>
    <w:p w14:paraId="566A6EE4">
      <w:pPr>
        <w:snapToGrid w:val="0"/>
        <w:spacing w:line="360" w:lineRule="auto"/>
        <w:jc w:val="left"/>
        <w:rPr>
          <w:rFonts w:ascii="黑体" w:hAnsi="黑体" w:eastAsia="黑体" w:cs="黑体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联系人：                联系电话：</w:t>
      </w:r>
    </w:p>
    <w:p w14:paraId="7123A66F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3D44EE"/>
    <w:rsid w:val="083D4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Office_12.1.0.23122_F1E327BC-269C-435d-A152-05C5408002CA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2025-10-23T00:49:00Z</dcterms:created>
  <dc:creator>王赛</dc:creator>
  <cp:lastModifiedBy>王赛</cp:lastModifiedBy>
  <dcterms:modified xsi:type="dcterms:W3CDTF">2025-10-23T01:00:16Z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2052-12.1.0.23122</vt:lpwstr>
  </property>
  <property fmtid="{D5CDD505-2E9C-101B-9397-08002B2CF9AE}" pid="3" name="ICV">
    <vt:lpwstr>E20FF405033442BD862282540938B2E6_11</vt:lpwstr>
  </property>
  <property fmtid="{D5CDD505-2E9C-101B-9397-08002B2CF9AE}" pid="4" name="KSOTemplateDocerSaveRecord">
    <vt:lpwstr>eyJoZGlkIjoiZWM4YjFjYTFiZWJlNDkxOWJiNWI2MWQ3NzQ2NzU5MmUiLCJ1c2VySWQiOiIyMTcyMzIxMzYifQ==</vt:lpwstr>
  </property>
</Properties>
</file>